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4B212F"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4B212F"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4B212F"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B212F"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B212F"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4B212F"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B212F"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4B212F"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4B212F"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4B212F"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4B212F"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4B212F"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w:t>
      </w:r>
      <w:r w:rsidRPr="00DF2FFB">
        <w:rPr>
          <w:rFonts w:ascii="Calibri" w:eastAsia="Times New Roman" w:hAnsi="Calibri" w:cs="Times New Roman"/>
          <w:sz w:val="24"/>
          <w:szCs w:val="24"/>
        </w:rPr>
        <w:lastRenderedPageBreak/>
        <w:t>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 South American Yellow-Footed tortoise is a herbivore that feeds primarily on fallen fruit and leaves, supplementing its diet with fresh vegetation and even termites. Working with the Habitat Protection Society, AGE has been able to ascertain that </w:t>
      </w:r>
      <w:r w:rsidRPr="00DF2FFB">
        <w:rPr>
          <w:rFonts w:ascii="Calibri" w:eastAsia="Times New Roman" w:hAnsi="Calibri" w:cs="Times New Roman"/>
          <w:sz w:val="24"/>
          <w:szCs w:val="24"/>
        </w:rPr>
        <w:lastRenderedPageBreak/>
        <w:t>tortoise populations have stabilised in the last 5 years and that no local businesses are compromising the health of the tortoise habitat.</w:t>
      </w:r>
    </w:p>
    <w:p w:rsidR="0097786E" w:rsidRPr="007918B4" w:rsidRDefault="00F70ABE">
      <w:pPr>
        <w:rPr>
          <w:b/>
          <w:sz w:val="28"/>
        </w:rPr>
      </w:pPr>
      <w:r w:rsidRPr="007918B4">
        <w:rPr>
          <w:b/>
          <w:sz w:val="28"/>
        </w:rPr>
        <w:t>Index</w:t>
      </w:r>
    </w:p>
    <w:p w:rsidR="00F26E6E" w:rsidRDefault="00F26E6E">
      <w:pPr>
        <w:rPr>
          <w:noProof/>
        </w:rPr>
        <w:sectPr w:rsidR="00F26E6E" w:rsidSect="00F26E6E">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pPr>
      <w:r>
        <w:fldChar w:fldCharType="begin"/>
      </w:r>
      <w:r>
        <w:instrText xml:space="preserve"> INDEX \h "A" \c "2" \z "3081" </w:instrText>
      </w:r>
      <w:r>
        <w:fldChar w:fldCharType="separate"/>
      </w:r>
    </w:p>
    <w:p w:rsidR="00F26E6E" w:rsidRDefault="00F26E6E">
      <w:pPr>
        <w:pStyle w:val="IndexHeading"/>
        <w:keepNext/>
        <w:tabs>
          <w:tab w:val="right" w:pos="3956"/>
        </w:tabs>
        <w:rPr>
          <w:rFonts w:eastAsiaTheme="minorEastAsia"/>
          <w:b w:val="0"/>
          <w:bCs w:val="0"/>
          <w:noProof/>
        </w:rPr>
      </w:pPr>
      <w:r>
        <w:rPr>
          <w:noProof/>
        </w:rPr>
        <w:lastRenderedPageBreak/>
        <w:t>A</w:t>
      </w:r>
    </w:p>
    <w:p w:rsidR="00F26E6E" w:rsidRDefault="00F26E6E">
      <w:pPr>
        <w:pStyle w:val="Index1"/>
        <w:tabs>
          <w:tab w:val="right" w:pos="3956"/>
        </w:tabs>
        <w:rPr>
          <w:noProof/>
        </w:rPr>
      </w:pPr>
      <w:r w:rsidRPr="00664166">
        <w:rPr>
          <w:rFonts w:ascii="Calibri" w:eastAsia="Times New Roman" w:hAnsi="Calibri" w:cs="Arial"/>
          <w:b/>
          <w:i/>
          <w:iCs/>
          <w:noProof/>
        </w:rPr>
        <w:t>Arachnidae</w:t>
      </w:r>
      <w:r>
        <w:rPr>
          <w:noProof/>
        </w:rPr>
        <w:t>, 1</w:t>
      </w:r>
    </w:p>
    <w:p w:rsidR="00F26E6E" w:rsidRDefault="00F26E6E">
      <w:pPr>
        <w:pStyle w:val="IndexHeading"/>
        <w:keepNext/>
        <w:tabs>
          <w:tab w:val="right" w:pos="3956"/>
        </w:tabs>
        <w:rPr>
          <w:rFonts w:eastAsiaTheme="minorEastAsia"/>
          <w:b w:val="0"/>
          <w:bCs w:val="0"/>
          <w:noProof/>
        </w:rPr>
      </w:pPr>
      <w:r>
        <w:rPr>
          <w:noProof/>
        </w:rPr>
        <w:t>E</w:t>
      </w:r>
    </w:p>
    <w:p w:rsidR="00F26E6E" w:rsidRDefault="00F26E6E">
      <w:pPr>
        <w:pStyle w:val="Index1"/>
        <w:tabs>
          <w:tab w:val="right" w:pos="3956"/>
        </w:tabs>
        <w:rPr>
          <w:noProof/>
        </w:rPr>
      </w:pPr>
      <w:r w:rsidRPr="00664166">
        <w:rPr>
          <w:rFonts w:ascii="Calibri" w:eastAsia="Times New Roman" w:hAnsi="Calibri" w:cs="Arial"/>
          <w:i/>
          <w:iCs/>
          <w:noProof/>
        </w:rPr>
        <w:t>environment</w:t>
      </w:r>
      <w:r>
        <w:rPr>
          <w:noProof/>
        </w:rPr>
        <w:t>, 1, 2, 3, 4</w:t>
      </w:r>
    </w:p>
    <w:p w:rsidR="00F26E6E" w:rsidRDefault="00F26E6E">
      <w:pPr>
        <w:pStyle w:val="IndexHeading"/>
        <w:keepNext/>
        <w:tabs>
          <w:tab w:val="right" w:pos="3956"/>
        </w:tabs>
        <w:rPr>
          <w:rFonts w:eastAsiaTheme="minorEastAsia"/>
          <w:b w:val="0"/>
          <w:bCs w:val="0"/>
          <w:noProof/>
        </w:rPr>
      </w:pPr>
      <w:r>
        <w:rPr>
          <w:noProof/>
        </w:rPr>
        <w:lastRenderedPageBreak/>
        <w:t>W</w:t>
      </w:r>
    </w:p>
    <w:p w:rsidR="00F26E6E" w:rsidRDefault="00F26E6E">
      <w:pPr>
        <w:pStyle w:val="Index1"/>
        <w:tabs>
          <w:tab w:val="right" w:pos="3956"/>
        </w:tabs>
        <w:rPr>
          <w:noProof/>
        </w:rPr>
      </w:pPr>
      <w:r>
        <w:rPr>
          <w:noProof/>
        </w:rPr>
        <w:t>water, 3</w:t>
      </w:r>
    </w:p>
    <w:p w:rsidR="00F26E6E" w:rsidRDefault="00F26E6E">
      <w:pPr>
        <w:rPr>
          <w:noProof/>
        </w:rPr>
        <w:sectPr w:rsidR="00F26E6E" w:rsidSect="00F26E6E">
          <w:type w:val="continuous"/>
          <w:pgSz w:w="11907" w:h="16840" w:code="9"/>
          <w:pgMar w:top="1797" w:right="1814" w:bottom="2336" w:left="1440" w:header="720" w:footer="720" w:gutter="0"/>
          <w:cols w:num="2" w:space="720"/>
          <w:docGrid w:linePitch="360"/>
        </w:sectPr>
      </w:pPr>
    </w:p>
    <w:p w:rsidR="00F70ABE" w:rsidRDefault="00F26E6E">
      <w:r>
        <w:lastRenderedPageBreak/>
        <w:fldChar w:fldCharType="end"/>
      </w:r>
    </w:p>
    <w:sectPr w:rsidR="00F70ABE" w:rsidSect="00F26E6E">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12F" w:rsidRDefault="004B212F">
      <w:pPr>
        <w:spacing w:after="0" w:line="240" w:lineRule="auto"/>
      </w:pPr>
      <w:r>
        <w:separator/>
      </w:r>
    </w:p>
  </w:endnote>
  <w:endnote w:type="continuationSeparator" w:id="0">
    <w:p w:rsidR="004B212F" w:rsidRDefault="004B2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4B212F"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4B212F"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2A6550" w:rsidRPr="002A6550">
      <w:rPr>
        <w:b/>
        <w:noProof/>
      </w:rPr>
      <w:t>5</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12F" w:rsidRDefault="004B212F">
      <w:pPr>
        <w:spacing w:after="0" w:line="240" w:lineRule="auto"/>
      </w:pPr>
      <w:r>
        <w:separator/>
      </w:r>
    </w:p>
  </w:footnote>
  <w:footnote w:type="continuationSeparator" w:id="0">
    <w:p w:rsidR="004B212F" w:rsidRDefault="004B2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4B2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4B21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4B21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2A6550"/>
    <w:rsid w:val="00377C53"/>
    <w:rsid w:val="003E4B21"/>
    <w:rsid w:val="004B212F"/>
    <w:rsid w:val="0056022F"/>
    <w:rsid w:val="005D4D9B"/>
    <w:rsid w:val="005D7BD1"/>
    <w:rsid w:val="006278AD"/>
    <w:rsid w:val="006C17F3"/>
    <w:rsid w:val="007365D0"/>
    <w:rsid w:val="007918B4"/>
    <w:rsid w:val="00807AD5"/>
    <w:rsid w:val="008F19F1"/>
    <w:rsid w:val="009664CB"/>
    <w:rsid w:val="0097786E"/>
    <w:rsid w:val="00A20D69"/>
    <w:rsid w:val="00A80943"/>
    <w:rsid w:val="00B12FE3"/>
    <w:rsid w:val="00BD138C"/>
    <w:rsid w:val="00F26E6E"/>
    <w:rsid w:val="00F70ABE"/>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 w:type="paragraph" w:styleId="Index1">
    <w:name w:val="index 1"/>
    <w:basedOn w:val="Normal"/>
    <w:next w:val="Normal"/>
    <w:autoRedefine/>
    <w:uiPriority w:val="99"/>
    <w:unhideWhenUsed/>
    <w:rsid w:val="00F70ABE"/>
    <w:pPr>
      <w:spacing w:after="0"/>
      <w:ind w:left="220" w:hanging="220"/>
    </w:pPr>
    <w:rPr>
      <w:sz w:val="18"/>
      <w:szCs w:val="18"/>
    </w:rPr>
  </w:style>
  <w:style w:type="paragraph" w:styleId="Index2">
    <w:name w:val="index 2"/>
    <w:basedOn w:val="Normal"/>
    <w:next w:val="Normal"/>
    <w:autoRedefine/>
    <w:uiPriority w:val="99"/>
    <w:unhideWhenUsed/>
    <w:rsid w:val="00F70ABE"/>
    <w:pPr>
      <w:spacing w:after="0"/>
      <w:ind w:left="440" w:hanging="220"/>
    </w:pPr>
    <w:rPr>
      <w:sz w:val="18"/>
      <w:szCs w:val="18"/>
    </w:rPr>
  </w:style>
  <w:style w:type="paragraph" w:styleId="Index3">
    <w:name w:val="index 3"/>
    <w:basedOn w:val="Normal"/>
    <w:next w:val="Normal"/>
    <w:autoRedefine/>
    <w:uiPriority w:val="99"/>
    <w:unhideWhenUsed/>
    <w:rsid w:val="00F70ABE"/>
    <w:pPr>
      <w:spacing w:after="0"/>
      <w:ind w:left="660" w:hanging="220"/>
    </w:pPr>
    <w:rPr>
      <w:sz w:val="18"/>
      <w:szCs w:val="18"/>
    </w:rPr>
  </w:style>
  <w:style w:type="paragraph" w:styleId="Index4">
    <w:name w:val="index 4"/>
    <w:basedOn w:val="Normal"/>
    <w:next w:val="Normal"/>
    <w:autoRedefine/>
    <w:uiPriority w:val="99"/>
    <w:unhideWhenUsed/>
    <w:rsid w:val="00F70ABE"/>
    <w:pPr>
      <w:spacing w:after="0"/>
      <w:ind w:left="880" w:hanging="220"/>
    </w:pPr>
    <w:rPr>
      <w:sz w:val="18"/>
      <w:szCs w:val="18"/>
    </w:rPr>
  </w:style>
  <w:style w:type="paragraph" w:styleId="Index5">
    <w:name w:val="index 5"/>
    <w:basedOn w:val="Normal"/>
    <w:next w:val="Normal"/>
    <w:autoRedefine/>
    <w:uiPriority w:val="99"/>
    <w:unhideWhenUsed/>
    <w:rsid w:val="00F70ABE"/>
    <w:pPr>
      <w:spacing w:after="0"/>
      <w:ind w:left="1100" w:hanging="220"/>
    </w:pPr>
    <w:rPr>
      <w:sz w:val="18"/>
      <w:szCs w:val="18"/>
    </w:rPr>
  </w:style>
  <w:style w:type="paragraph" w:styleId="Index6">
    <w:name w:val="index 6"/>
    <w:basedOn w:val="Normal"/>
    <w:next w:val="Normal"/>
    <w:autoRedefine/>
    <w:uiPriority w:val="99"/>
    <w:unhideWhenUsed/>
    <w:rsid w:val="00F70ABE"/>
    <w:pPr>
      <w:spacing w:after="0"/>
      <w:ind w:left="1320" w:hanging="220"/>
    </w:pPr>
    <w:rPr>
      <w:sz w:val="18"/>
      <w:szCs w:val="18"/>
    </w:rPr>
  </w:style>
  <w:style w:type="paragraph" w:styleId="Index7">
    <w:name w:val="index 7"/>
    <w:basedOn w:val="Normal"/>
    <w:next w:val="Normal"/>
    <w:autoRedefine/>
    <w:uiPriority w:val="99"/>
    <w:unhideWhenUsed/>
    <w:rsid w:val="00F70ABE"/>
    <w:pPr>
      <w:spacing w:after="0"/>
      <w:ind w:left="1540" w:hanging="220"/>
    </w:pPr>
    <w:rPr>
      <w:sz w:val="18"/>
      <w:szCs w:val="18"/>
    </w:rPr>
  </w:style>
  <w:style w:type="paragraph" w:styleId="Index8">
    <w:name w:val="index 8"/>
    <w:basedOn w:val="Normal"/>
    <w:next w:val="Normal"/>
    <w:autoRedefine/>
    <w:uiPriority w:val="99"/>
    <w:unhideWhenUsed/>
    <w:rsid w:val="00F70ABE"/>
    <w:pPr>
      <w:spacing w:after="0"/>
      <w:ind w:left="1760" w:hanging="220"/>
    </w:pPr>
    <w:rPr>
      <w:sz w:val="18"/>
      <w:szCs w:val="18"/>
    </w:rPr>
  </w:style>
  <w:style w:type="paragraph" w:styleId="Index9">
    <w:name w:val="index 9"/>
    <w:basedOn w:val="Normal"/>
    <w:next w:val="Normal"/>
    <w:autoRedefine/>
    <w:uiPriority w:val="99"/>
    <w:unhideWhenUsed/>
    <w:rsid w:val="00F70ABE"/>
    <w:pPr>
      <w:spacing w:after="0"/>
      <w:ind w:left="1980" w:hanging="220"/>
    </w:pPr>
    <w:rPr>
      <w:sz w:val="18"/>
      <w:szCs w:val="18"/>
    </w:rPr>
  </w:style>
  <w:style w:type="paragraph" w:styleId="IndexHeading">
    <w:name w:val="index heading"/>
    <w:basedOn w:val="Normal"/>
    <w:next w:val="Index1"/>
    <w:uiPriority w:val="99"/>
    <w:unhideWhenUsed/>
    <w:rsid w:val="00F70ABE"/>
    <w:pPr>
      <w:spacing w:before="240" w:after="120"/>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804F3-D94A-449E-8E6C-96D5A816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2016-02-02T02:00:00Z</dcterms:created>
  <dcterms:modified xsi:type="dcterms:W3CDTF">2016-02-02T02:00:00Z</dcterms:modified>
</cp:coreProperties>
</file>